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9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r>
        <w:rPr>
          <w:sz w:val="22"/>
        </w:rPr>
        <w:t>Media statement</w:t>
      </w:r>
      <w:r>
        <w:rPr>
          <w:sz w:val="22"/>
        </w:rPr>
        <w:tab/>
      </w:r>
      <w:proofErr w:type="spellStart"/>
      <w:r>
        <w:rPr>
          <w:sz w:val="22"/>
        </w:rPr>
        <w:t>mcnabb</w:t>
      </w:r>
      <w:proofErr w:type="spellEnd"/>
      <w:r>
        <w:rPr>
          <w:sz w:val="22"/>
        </w:rPr>
        <w:t xml:space="preserve"> – 1</w:t>
      </w:r>
    </w:p>
    <w:p w:rsidR="009E0DC9" w:rsidRDefault="006715E6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r>
        <w:rPr>
          <w:sz w:val="22"/>
        </w:rPr>
        <w:t>July 26, 2011</w:t>
      </w:r>
    </w:p>
    <w:p w:rsidR="009E0DC9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</w:p>
    <w:p w:rsidR="009E0DC9" w:rsidRPr="009E0DC9" w:rsidRDefault="009E0DC9" w:rsidP="009E0DC9">
      <w:pPr>
        <w:tabs>
          <w:tab w:val="left" w:pos="7088"/>
        </w:tabs>
        <w:spacing w:after="0" w:line="360" w:lineRule="auto"/>
        <w:contextualSpacing/>
        <w:rPr>
          <w:b/>
          <w:sz w:val="22"/>
        </w:rPr>
      </w:pPr>
      <w:r w:rsidRPr="009E0DC9">
        <w:rPr>
          <w:b/>
          <w:sz w:val="22"/>
        </w:rPr>
        <w:t>STATEMENT FROM MCNABB GROUP PROPERTIES</w:t>
      </w:r>
    </w:p>
    <w:p w:rsidR="009E0DC9" w:rsidRPr="009E0DC9" w:rsidRDefault="009E0DC9" w:rsidP="009E0DC9">
      <w:pPr>
        <w:tabs>
          <w:tab w:val="left" w:pos="7088"/>
        </w:tabs>
        <w:spacing w:after="0" w:line="360" w:lineRule="auto"/>
        <w:contextualSpacing/>
        <w:rPr>
          <w:b/>
          <w:sz w:val="22"/>
        </w:rPr>
      </w:pPr>
      <w:r w:rsidRPr="009E0DC9">
        <w:rPr>
          <w:b/>
          <w:sz w:val="22"/>
        </w:rPr>
        <w:t xml:space="preserve">Kiwi property investor </w:t>
      </w:r>
      <w:r w:rsidR="006A3E15">
        <w:rPr>
          <w:b/>
          <w:sz w:val="22"/>
        </w:rPr>
        <w:t>freezes</w:t>
      </w:r>
      <w:r w:rsidRPr="009E0DC9">
        <w:rPr>
          <w:b/>
          <w:sz w:val="22"/>
        </w:rPr>
        <w:t xml:space="preserve"> global </w:t>
      </w:r>
      <w:r w:rsidR="00F8136F">
        <w:rPr>
          <w:b/>
          <w:sz w:val="22"/>
        </w:rPr>
        <w:t>fraudster’s</w:t>
      </w:r>
      <w:r w:rsidR="006A3E15">
        <w:rPr>
          <w:b/>
          <w:sz w:val="22"/>
        </w:rPr>
        <w:t xml:space="preserve"> funds</w:t>
      </w:r>
      <w:r w:rsidRPr="009E0DC9">
        <w:rPr>
          <w:b/>
          <w:sz w:val="22"/>
        </w:rPr>
        <w:t xml:space="preserve"> </w:t>
      </w:r>
    </w:p>
    <w:p w:rsidR="009E0DC9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</w:p>
    <w:p w:rsidR="003F26CD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r>
        <w:rPr>
          <w:sz w:val="22"/>
        </w:rPr>
        <w:t>New Zealand property investor McNabb Group Properties</w:t>
      </w:r>
      <w:r w:rsidR="005716A3">
        <w:rPr>
          <w:sz w:val="22"/>
        </w:rPr>
        <w:t xml:space="preserve"> (McNabb)</w:t>
      </w:r>
      <w:r>
        <w:rPr>
          <w:sz w:val="22"/>
        </w:rPr>
        <w:t xml:space="preserve"> has frozen the Swiss bank account of alleged international loan scammer Western Gulf Advisory (WGA)</w:t>
      </w:r>
      <w:r w:rsidR="003F26CD">
        <w:rPr>
          <w:sz w:val="22"/>
        </w:rPr>
        <w:t>.</w:t>
      </w:r>
    </w:p>
    <w:p w:rsidR="003F26CD" w:rsidRDefault="003F26CD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</w:p>
    <w:p w:rsidR="009E0DC9" w:rsidRDefault="003F26CD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r>
        <w:rPr>
          <w:sz w:val="22"/>
        </w:rPr>
        <w:t>The company ha</w:t>
      </w:r>
      <w:r w:rsidR="005E08CB">
        <w:rPr>
          <w:sz w:val="22"/>
        </w:rPr>
        <w:t>s</w:t>
      </w:r>
      <w:r>
        <w:rPr>
          <w:sz w:val="22"/>
        </w:rPr>
        <w:t xml:space="preserve"> also filed criminal proceedings in Switzerland and Bahrain against WGA</w:t>
      </w:r>
      <w:r w:rsidR="009E0DC9">
        <w:rPr>
          <w:sz w:val="22"/>
        </w:rPr>
        <w:t>.</w:t>
      </w:r>
    </w:p>
    <w:p w:rsidR="009E0DC9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</w:p>
    <w:p w:rsidR="009E0DC9" w:rsidRDefault="009E0DC9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r>
        <w:rPr>
          <w:sz w:val="22"/>
        </w:rPr>
        <w:t>The move</w:t>
      </w:r>
      <w:r w:rsidR="005E08CB">
        <w:rPr>
          <w:sz w:val="22"/>
        </w:rPr>
        <w:t>s</w:t>
      </w:r>
      <w:r>
        <w:rPr>
          <w:sz w:val="22"/>
        </w:rPr>
        <w:t xml:space="preserve"> follow a series </w:t>
      </w:r>
      <w:r w:rsidR="005716A3">
        <w:rPr>
          <w:sz w:val="22"/>
        </w:rPr>
        <w:t xml:space="preserve">of events that began late last year when McNabb sought funding for a hotel venture </w:t>
      </w:r>
      <w:r w:rsidR="00A36DE8">
        <w:rPr>
          <w:sz w:val="22"/>
        </w:rPr>
        <w:t>in Auckland</w:t>
      </w:r>
      <w:r w:rsidR="00A36DE8">
        <w:rPr>
          <w:sz w:val="22"/>
        </w:rPr>
        <w:t xml:space="preserve"> and the Waihi Discovery Centre</w:t>
      </w:r>
      <w:r w:rsidR="005716A3">
        <w:rPr>
          <w:sz w:val="22"/>
        </w:rPr>
        <w:t xml:space="preserve"> and was approached by a WGA intermediary in New Zealand.</w:t>
      </w:r>
    </w:p>
    <w:p w:rsidR="005716A3" w:rsidRDefault="005716A3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</w:p>
    <w:p w:rsidR="006A3E15" w:rsidRDefault="00E54960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sz w:val="22"/>
        </w:rPr>
        <w:t>WGA is le</w:t>
      </w:r>
      <w:r w:rsidR="005716A3">
        <w:rPr>
          <w:sz w:val="22"/>
        </w:rPr>
        <w:t>d by Indian national</w:t>
      </w:r>
      <w:r w:rsidR="005716A3" w:rsidRPr="00E54960">
        <w:rPr>
          <w:sz w:val="22"/>
        </w:rPr>
        <w:t xml:space="preserve"> </w:t>
      </w:r>
      <w:r>
        <w:rPr>
          <w:sz w:val="22"/>
        </w:rPr>
        <w:t xml:space="preserve">and alleged fraudster </w:t>
      </w:r>
      <w:proofErr w:type="spellStart"/>
      <w:r w:rsidRPr="00E54960">
        <w:rPr>
          <w:bCs/>
          <w:sz w:val="22"/>
        </w:rPr>
        <w:t>Ahsan</w:t>
      </w:r>
      <w:proofErr w:type="spellEnd"/>
      <w:r w:rsidRPr="00E54960">
        <w:rPr>
          <w:bCs/>
          <w:sz w:val="22"/>
        </w:rPr>
        <w:t xml:space="preserve"> Ali Syed</w:t>
      </w:r>
      <w:r w:rsidR="006A3E15">
        <w:rPr>
          <w:bCs/>
          <w:sz w:val="22"/>
        </w:rPr>
        <w:t xml:space="preserve"> who has allegedly scammed some $100mil</w:t>
      </w:r>
      <w:r w:rsidR="000F698C">
        <w:rPr>
          <w:bCs/>
          <w:sz w:val="22"/>
        </w:rPr>
        <w:t>lion</w:t>
      </w:r>
      <w:r w:rsidR="006A3E15">
        <w:rPr>
          <w:bCs/>
          <w:sz w:val="22"/>
        </w:rPr>
        <w:t xml:space="preserve"> </w:t>
      </w:r>
      <w:proofErr w:type="gramStart"/>
      <w:r w:rsidR="006A3E15">
        <w:rPr>
          <w:bCs/>
          <w:sz w:val="22"/>
        </w:rPr>
        <w:t xml:space="preserve">from </w:t>
      </w:r>
      <w:r>
        <w:rPr>
          <w:bCs/>
          <w:sz w:val="22"/>
        </w:rPr>
        <w:t xml:space="preserve"> </w:t>
      </w:r>
      <w:r w:rsidR="006A3E15">
        <w:rPr>
          <w:bCs/>
          <w:sz w:val="22"/>
        </w:rPr>
        <w:t>Australian</w:t>
      </w:r>
      <w:proofErr w:type="gramEnd"/>
      <w:r w:rsidR="006A3E15">
        <w:rPr>
          <w:bCs/>
          <w:sz w:val="22"/>
        </w:rPr>
        <w:t xml:space="preserve"> </w:t>
      </w:r>
      <w:r>
        <w:rPr>
          <w:bCs/>
          <w:sz w:val="22"/>
        </w:rPr>
        <w:t>investor</w:t>
      </w:r>
      <w:r w:rsidR="006A3E15">
        <w:rPr>
          <w:bCs/>
          <w:sz w:val="22"/>
        </w:rPr>
        <w:t>s.</w:t>
      </w:r>
    </w:p>
    <w:p w:rsidR="00E54960" w:rsidRDefault="00E54960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E54960" w:rsidRDefault="00373BC2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 xml:space="preserve">Following due diligence and local and international research over several months McNabb advanced </w:t>
      </w:r>
      <w:r w:rsidR="00400C1B">
        <w:rPr>
          <w:bCs/>
          <w:sz w:val="22"/>
        </w:rPr>
        <w:t xml:space="preserve">some </w:t>
      </w:r>
      <w:proofErr w:type="spellStart"/>
      <w:r w:rsidR="00400C1B">
        <w:rPr>
          <w:bCs/>
          <w:sz w:val="22"/>
        </w:rPr>
        <w:t>NZ$1.1</w:t>
      </w:r>
      <w:proofErr w:type="spellEnd"/>
      <w:r w:rsidR="00400C1B">
        <w:rPr>
          <w:bCs/>
          <w:sz w:val="22"/>
        </w:rPr>
        <w:t xml:space="preserve"> million</w:t>
      </w:r>
      <w:r>
        <w:rPr>
          <w:bCs/>
          <w:sz w:val="22"/>
        </w:rPr>
        <w:t xml:space="preserve"> to </w:t>
      </w:r>
      <w:proofErr w:type="spellStart"/>
      <w:r>
        <w:rPr>
          <w:bCs/>
          <w:sz w:val="22"/>
        </w:rPr>
        <w:t>WGA</w:t>
      </w:r>
      <w:proofErr w:type="spellEnd"/>
      <w:r>
        <w:rPr>
          <w:bCs/>
          <w:sz w:val="22"/>
        </w:rPr>
        <w:t xml:space="preserve"> early this year to cover fee</w:t>
      </w:r>
      <w:r w:rsidR="00A36DE8">
        <w:rPr>
          <w:bCs/>
          <w:sz w:val="22"/>
        </w:rPr>
        <w:t>s</w:t>
      </w:r>
      <w:r>
        <w:rPr>
          <w:bCs/>
          <w:sz w:val="22"/>
        </w:rPr>
        <w:t xml:space="preserve"> and </w:t>
      </w:r>
      <w:r w:rsidR="00A36DE8">
        <w:rPr>
          <w:bCs/>
          <w:sz w:val="22"/>
        </w:rPr>
        <w:t xml:space="preserve">a </w:t>
      </w:r>
      <w:r>
        <w:rPr>
          <w:bCs/>
          <w:sz w:val="22"/>
        </w:rPr>
        <w:t>deposit on a property loan.</w:t>
      </w:r>
    </w:p>
    <w:p w:rsidR="00373BC2" w:rsidRDefault="00373BC2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373BC2" w:rsidRDefault="00373BC2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 xml:space="preserve">Alarm bells began to ring </w:t>
      </w:r>
      <w:r w:rsidR="00225D0E">
        <w:rPr>
          <w:bCs/>
          <w:sz w:val="22"/>
        </w:rPr>
        <w:t xml:space="preserve">in </w:t>
      </w:r>
      <w:r w:rsidR="00A36DE8">
        <w:rPr>
          <w:bCs/>
          <w:sz w:val="22"/>
        </w:rPr>
        <w:t>mid-</w:t>
      </w:r>
      <w:r w:rsidR="00225D0E">
        <w:rPr>
          <w:bCs/>
          <w:sz w:val="22"/>
        </w:rPr>
        <w:t xml:space="preserve">March </w:t>
      </w:r>
      <w:r>
        <w:rPr>
          <w:bCs/>
          <w:sz w:val="22"/>
        </w:rPr>
        <w:t xml:space="preserve">when </w:t>
      </w:r>
      <w:proofErr w:type="spellStart"/>
      <w:r>
        <w:rPr>
          <w:bCs/>
          <w:sz w:val="22"/>
        </w:rPr>
        <w:t>WGA</w:t>
      </w:r>
      <w:proofErr w:type="spellEnd"/>
      <w:r>
        <w:rPr>
          <w:bCs/>
          <w:sz w:val="22"/>
        </w:rPr>
        <w:t xml:space="preserve"> – which had observed all the </w:t>
      </w:r>
      <w:r w:rsidR="005E08CB">
        <w:rPr>
          <w:bCs/>
          <w:sz w:val="22"/>
        </w:rPr>
        <w:t>stringent</w:t>
      </w:r>
      <w:r>
        <w:rPr>
          <w:bCs/>
          <w:sz w:val="22"/>
        </w:rPr>
        <w:t xml:space="preserve"> protocols of a </w:t>
      </w:r>
      <w:r w:rsidR="00D46AE6">
        <w:rPr>
          <w:bCs/>
          <w:sz w:val="22"/>
        </w:rPr>
        <w:t xml:space="preserve">major </w:t>
      </w:r>
      <w:r>
        <w:rPr>
          <w:bCs/>
          <w:sz w:val="22"/>
        </w:rPr>
        <w:t xml:space="preserve">global financial transaction – </w:t>
      </w:r>
      <w:r w:rsidR="00F8136F">
        <w:rPr>
          <w:bCs/>
          <w:sz w:val="22"/>
        </w:rPr>
        <w:t>breached the agreement by not returning our funds when asked to</w:t>
      </w:r>
      <w:r>
        <w:rPr>
          <w:bCs/>
          <w:sz w:val="22"/>
        </w:rPr>
        <w:t>.</w:t>
      </w:r>
    </w:p>
    <w:p w:rsidR="00373BC2" w:rsidRDefault="00373BC2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373BC2" w:rsidRDefault="00373BC2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 xml:space="preserve">McNabb </w:t>
      </w:r>
      <w:r w:rsidR="005650D0">
        <w:rPr>
          <w:bCs/>
          <w:sz w:val="22"/>
        </w:rPr>
        <w:t xml:space="preserve">hired Kiwi private investigator and barrister Mark van </w:t>
      </w:r>
      <w:proofErr w:type="spellStart"/>
      <w:r w:rsidR="00240D04">
        <w:rPr>
          <w:bCs/>
          <w:sz w:val="22"/>
        </w:rPr>
        <w:t>Leew</w:t>
      </w:r>
      <w:r w:rsidR="005650D0">
        <w:rPr>
          <w:bCs/>
          <w:sz w:val="22"/>
        </w:rPr>
        <w:t>arden</w:t>
      </w:r>
      <w:proofErr w:type="spellEnd"/>
      <w:r w:rsidR="00D46AE6">
        <w:rPr>
          <w:bCs/>
          <w:sz w:val="22"/>
        </w:rPr>
        <w:t xml:space="preserve"> to check out WGA. </w:t>
      </w:r>
      <w:r w:rsidR="009B4C54">
        <w:rPr>
          <w:bCs/>
          <w:sz w:val="22"/>
        </w:rPr>
        <w:t xml:space="preserve">The PI travelled to Dubai and Switzerland and with </w:t>
      </w:r>
      <w:r w:rsidR="00A36DE8">
        <w:rPr>
          <w:bCs/>
          <w:sz w:val="22"/>
        </w:rPr>
        <w:t xml:space="preserve">the </w:t>
      </w:r>
      <w:r w:rsidR="009B4C54">
        <w:rPr>
          <w:bCs/>
          <w:sz w:val="22"/>
        </w:rPr>
        <w:t>evidence was able to convince Swiss banking authorities to freeze the WGA account.</w:t>
      </w:r>
    </w:p>
    <w:p w:rsidR="009B4C54" w:rsidRDefault="009B4C54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9B4C54" w:rsidRDefault="009B4C54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 xml:space="preserve">McNabb principal </w:t>
      </w:r>
      <w:r w:rsidR="00AC20AA">
        <w:rPr>
          <w:bCs/>
          <w:sz w:val="22"/>
        </w:rPr>
        <w:t xml:space="preserve">Gary McNabb says </w:t>
      </w:r>
      <w:r w:rsidR="00B53406">
        <w:rPr>
          <w:bCs/>
          <w:sz w:val="22"/>
        </w:rPr>
        <w:t xml:space="preserve">WGA has threatened to sue the </w:t>
      </w:r>
      <w:r w:rsidR="005E08CB">
        <w:rPr>
          <w:bCs/>
          <w:sz w:val="22"/>
        </w:rPr>
        <w:t xml:space="preserve">New Zealand </w:t>
      </w:r>
      <w:proofErr w:type="gramStart"/>
      <w:r w:rsidR="00B53406">
        <w:rPr>
          <w:bCs/>
          <w:sz w:val="22"/>
        </w:rPr>
        <w:t>company</w:t>
      </w:r>
      <w:proofErr w:type="gramEnd"/>
      <w:r w:rsidR="00B53406">
        <w:rPr>
          <w:bCs/>
          <w:sz w:val="22"/>
        </w:rPr>
        <w:t xml:space="preserve"> </w:t>
      </w:r>
      <w:r w:rsidR="006715E6">
        <w:rPr>
          <w:bCs/>
          <w:sz w:val="22"/>
        </w:rPr>
        <w:t xml:space="preserve">for US$6 million </w:t>
      </w:r>
      <w:r w:rsidR="00B53406">
        <w:rPr>
          <w:bCs/>
          <w:sz w:val="22"/>
        </w:rPr>
        <w:t xml:space="preserve">but the threats are </w:t>
      </w:r>
      <w:r w:rsidR="006715E6">
        <w:rPr>
          <w:bCs/>
          <w:sz w:val="22"/>
        </w:rPr>
        <w:t>without foundation</w:t>
      </w:r>
      <w:r w:rsidR="00B53406">
        <w:rPr>
          <w:bCs/>
          <w:sz w:val="22"/>
        </w:rPr>
        <w:t>.</w:t>
      </w:r>
    </w:p>
    <w:p w:rsidR="00B53406" w:rsidRDefault="00B53406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240D04" w:rsidRDefault="00240D04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“They have no grounds at all in law to sue us. Our contract with them – which is under Swiss jurisdiction - says that if they don’t perform they have to return all our funds to us immediately.</w:t>
      </w:r>
    </w:p>
    <w:p w:rsidR="006715E6" w:rsidRDefault="006715E6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6715E6" w:rsidRDefault="006715E6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lastRenderedPageBreak/>
        <w:t>“It’s interesting to us that they want to sue for US$6 million – that tends to suggest there is that level of funds in the Swiss bank account,” McNabb says.</w:t>
      </w:r>
    </w:p>
    <w:p w:rsidR="00240D04" w:rsidRDefault="00240D04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BD12A5" w:rsidRDefault="00240D04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“</w:t>
      </w:r>
      <w:r w:rsidR="00BD12A5">
        <w:rPr>
          <w:bCs/>
          <w:sz w:val="22"/>
        </w:rPr>
        <w:t>O</w:t>
      </w:r>
      <w:r>
        <w:rPr>
          <w:bCs/>
          <w:sz w:val="22"/>
        </w:rPr>
        <w:t xml:space="preserve">ur exposure is </w:t>
      </w:r>
      <w:r w:rsidR="00BD12A5">
        <w:rPr>
          <w:bCs/>
          <w:sz w:val="22"/>
        </w:rPr>
        <w:t xml:space="preserve">a drop in the bucket when you consider </w:t>
      </w:r>
      <w:r>
        <w:rPr>
          <w:bCs/>
          <w:sz w:val="22"/>
        </w:rPr>
        <w:t>th</w:t>
      </w:r>
      <w:r w:rsidR="006A3E15">
        <w:rPr>
          <w:bCs/>
          <w:sz w:val="22"/>
        </w:rPr>
        <w:t xml:space="preserve">at </w:t>
      </w:r>
      <w:r>
        <w:rPr>
          <w:bCs/>
          <w:sz w:val="22"/>
        </w:rPr>
        <w:t>Australian</w:t>
      </w:r>
      <w:r w:rsidR="006A3E15">
        <w:rPr>
          <w:bCs/>
          <w:sz w:val="22"/>
        </w:rPr>
        <w:t xml:space="preserve"> investors</w:t>
      </w:r>
      <w:r>
        <w:rPr>
          <w:bCs/>
          <w:sz w:val="22"/>
        </w:rPr>
        <w:t xml:space="preserve"> have </w:t>
      </w:r>
      <w:r w:rsidR="006A3E15">
        <w:rPr>
          <w:bCs/>
          <w:sz w:val="22"/>
        </w:rPr>
        <w:t xml:space="preserve">allegedly </w:t>
      </w:r>
      <w:r>
        <w:rPr>
          <w:bCs/>
          <w:sz w:val="22"/>
        </w:rPr>
        <w:t>sent about $</w:t>
      </w:r>
      <w:r w:rsidR="006A3E15">
        <w:rPr>
          <w:bCs/>
          <w:sz w:val="22"/>
        </w:rPr>
        <w:t>100</w:t>
      </w:r>
      <w:r>
        <w:rPr>
          <w:bCs/>
          <w:sz w:val="22"/>
        </w:rPr>
        <w:t xml:space="preserve"> million to WGA.</w:t>
      </w:r>
      <w:r w:rsidR="00BD12A5">
        <w:rPr>
          <w:bCs/>
          <w:sz w:val="22"/>
        </w:rPr>
        <w:t xml:space="preserve"> We are </w:t>
      </w:r>
      <w:r w:rsidR="006A3E15">
        <w:rPr>
          <w:bCs/>
          <w:sz w:val="22"/>
        </w:rPr>
        <w:t>pleased</w:t>
      </w:r>
      <w:r w:rsidR="00BD12A5">
        <w:rPr>
          <w:bCs/>
          <w:sz w:val="22"/>
        </w:rPr>
        <w:t xml:space="preserve"> we took positive action to recover our money when we first became suspicious about WGA,” McNabb says. </w:t>
      </w: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“We hope by publicising what has happened that investors or borrowers are warned off WGA or others who have had dealings with them come forward</w:t>
      </w:r>
      <w:r w:rsidR="005E08CB">
        <w:rPr>
          <w:bCs/>
          <w:sz w:val="22"/>
        </w:rPr>
        <w:t xml:space="preserve"> so we can help</w:t>
      </w:r>
      <w:r w:rsidR="00F8136F">
        <w:rPr>
          <w:bCs/>
          <w:sz w:val="22"/>
        </w:rPr>
        <w:t xml:space="preserve"> shut </w:t>
      </w:r>
      <w:r w:rsidR="006A3E15">
        <w:rPr>
          <w:bCs/>
          <w:sz w:val="22"/>
        </w:rPr>
        <w:t xml:space="preserve">down </w:t>
      </w:r>
      <w:r w:rsidR="005E08CB">
        <w:rPr>
          <w:bCs/>
          <w:sz w:val="22"/>
        </w:rPr>
        <w:t>a very clever fraudster</w:t>
      </w:r>
      <w:r>
        <w:rPr>
          <w:bCs/>
          <w:sz w:val="22"/>
        </w:rPr>
        <w:t>.”</w:t>
      </w: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Gary McNabb</w:t>
      </w: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Chair</w:t>
      </w:r>
    </w:p>
    <w:p w:rsidR="00BD12A5" w:rsidRDefault="00BD12A5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 w:rsidRPr="006715E6">
        <w:rPr>
          <w:b/>
          <w:bCs/>
          <w:sz w:val="22"/>
        </w:rPr>
        <w:t>McNabb Group Properties</w:t>
      </w:r>
    </w:p>
    <w:p w:rsidR="00A36DE8" w:rsidRDefault="00A36DE8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</w:p>
    <w:p w:rsidR="00A36DE8" w:rsidRDefault="00A36DE8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>For further information please contact:</w:t>
      </w:r>
    </w:p>
    <w:p w:rsidR="001E1E32" w:rsidRDefault="00A36DE8" w:rsidP="009E0DC9">
      <w:pPr>
        <w:tabs>
          <w:tab w:val="left" w:pos="7088"/>
        </w:tabs>
        <w:spacing w:after="0" w:line="360" w:lineRule="auto"/>
        <w:contextualSpacing/>
        <w:rPr>
          <w:bCs/>
          <w:sz w:val="22"/>
        </w:rPr>
      </w:pPr>
      <w:r>
        <w:rPr>
          <w:bCs/>
          <w:sz w:val="22"/>
        </w:rPr>
        <w:t xml:space="preserve">Mark van </w:t>
      </w:r>
      <w:proofErr w:type="spellStart"/>
      <w:r>
        <w:rPr>
          <w:bCs/>
          <w:sz w:val="22"/>
        </w:rPr>
        <w:t>Leewarden</w:t>
      </w:r>
      <w:proofErr w:type="spellEnd"/>
      <w:r>
        <w:rPr>
          <w:bCs/>
          <w:sz w:val="22"/>
        </w:rPr>
        <w:t xml:space="preserve">, Warden Consulting Limited, Tel: +64-9-414 4252, </w:t>
      </w:r>
    </w:p>
    <w:p w:rsidR="00A36DE8" w:rsidRPr="00A36DE8" w:rsidRDefault="00A36DE8" w:rsidP="009E0DC9">
      <w:pPr>
        <w:tabs>
          <w:tab w:val="left" w:pos="7088"/>
        </w:tabs>
        <w:spacing w:after="0" w:line="360" w:lineRule="auto"/>
        <w:contextualSpacing/>
        <w:rPr>
          <w:sz w:val="22"/>
        </w:rPr>
      </w:pPr>
      <w:bookmarkStart w:id="0" w:name="_GoBack"/>
      <w:bookmarkEnd w:id="0"/>
      <w:r>
        <w:rPr>
          <w:bCs/>
          <w:sz w:val="22"/>
        </w:rPr>
        <w:t xml:space="preserve">Mob: +64 (21) 726 000, email: </w:t>
      </w:r>
      <w:hyperlink r:id="rId7" w:history="1">
        <w:r w:rsidRPr="001626F3">
          <w:rPr>
            <w:rStyle w:val="Hyperlink"/>
            <w:bCs/>
            <w:sz w:val="22"/>
          </w:rPr>
          <w:t>mark@wardenconsulting.com</w:t>
        </w:r>
      </w:hyperlink>
      <w:r>
        <w:rPr>
          <w:bCs/>
          <w:sz w:val="22"/>
        </w:rPr>
        <w:t xml:space="preserve"> </w:t>
      </w:r>
    </w:p>
    <w:sectPr w:rsidR="00A36DE8" w:rsidRPr="00A36DE8" w:rsidSect="00932289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02" w:rsidRDefault="00401102" w:rsidP="00932289">
      <w:pPr>
        <w:spacing w:after="0" w:line="240" w:lineRule="auto"/>
      </w:pPr>
      <w:r>
        <w:separator/>
      </w:r>
    </w:p>
  </w:endnote>
  <w:endnote w:type="continuationSeparator" w:id="0">
    <w:p w:rsidR="00401102" w:rsidRDefault="00401102" w:rsidP="0093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02" w:rsidRDefault="00401102" w:rsidP="00932289">
      <w:pPr>
        <w:spacing w:after="0" w:line="240" w:lineRule="auto"/>
      </w:pPr>
      <w:r>
        <w:separator/>
      </w:r>
    </w:p>
  </w:footnote>
  <w:footnote w:type="continuationSeparator" w:id="0">
    <w:p w:rsidR="00401102" w:rsidRDefault="00401102" w:rsidP="0093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05" w:rsidRDefault="00767F05">
    <w:pPr>
      <w:pStyle w:val="Header"/>
      <w:rPr>
        <w:noProof/>
      </w:rPr>
    </w:pPr>
    <w:r>
      <w:tab/>
    </w:r>
    <w:r>
      <w:tab/>
    </w:r>
    <w:proofErr w:type="spellStart"/>
    <w:proofErr w:type="gramStart"/>
    <w:r>
      <w:t>mcnabb</w:t>
    </w:r>
    <w:proofErr w:type="spellEnd"/>
    <w:proofErr w:type="gramEnd"/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1E1E32">
      <w:rPr>
        <w:noProof/>
      </w:rPr>
      <w:t>2</w:t>
    </w:r>
    <w:r>
      <w:rPr>
        <w:noProof/>
      </w:rPr>
      <w:fldChar w:fldCharType="end"/>
    </w:r>
  </w:p>
  <w:p w:rsidR="00767F05" w:rsidRDefault="00767F05">
    <w:pPr>
      <w:pStyle w:val="Header"/>
      <w:rPr>
        <w:noProof/>
      </w:rPr>
    </w:pPr>
  </w:p>
  <w:p w:rsidR="00767F05" w:rsidRDefault="00767F05">
    <w:pPr>
      <w:pStyle w:val="Header"/>
      <w:rPr>
        <w:noProof/>
      </w:rPr>
    </w:pPr>
  </w:p>
  <w:p w:rsidR="00767F05" w:rsidRDefault="00767F05">
    <w:pPr>
      <w:pStyle w:val="Header"/>
      <w:rPr>
        <w:noProof/>
      </w:rPr>
    </w:pPr>
  </w:p>
  <w:p w:rsidR="00767F05" w:rsidRDefault="00767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C9"/>
    <w:rsid w:val="00014E0B"/>
    <w:rsid w:val="000F698C"/>
    <w:rsid w:val="001074D3"/>
    <w:rsid w:val="001E1E32"/>
    <w:rsid w:val="001E5ADE"/>
    <w:rsid w:val="001F0AF2"/>
    <w:rsid w:val="00225D0E"/>
    <w:rsid w:val="00240D04"/>
    <w:rsid w:val="00320346"/>
    <w:rsid w:val="00351994"/>
    <w:rsid w:val="00373BC2"/>
    <w:rsid w:val="003F26CD"/>
    <w:rsid w:val="00400C1B"/>
    <w:rsid w:val="00401102"/>
    <w:rsid w:val="00444CBC"/>
    <w:rsid w:val="004B0093"/>
    <w:rsid w:val="005650D0"/>
    <w:rsid w:val="005716A3"/>
    <w:rsid w:val="00575D88"/>
    <w:rsid w:val="005E08CB"/>
    <w:rsid w:val="006715E6"/>
    <w:rsid w:val="006A2DF4"/>
    <w:rsid w:val="006A3E15"/>
    <w:rsid w:val="006B404B"/>
    <w:rsid w:val="00767F05"/>
    <w:rsid w:val="007717DB"/>
    <w:rsid w:val="007B5115"/>
    <w:rsid w:val="007E77BB"/>
    <w:rsid w:val="007F711D"/>
    <w:rsid w:val="00820AC6"/>
    <w:rsid w:val="00932289"/>
    <w:rsid w:val="009B4C54"/>
    <w:rsid w:val="009E0DC9"/>
    <w:rsid w:val="00A36DE8"/>
    <w:rsid w:val="00AA33A4"/>
    <w:rsid w:val="00AC20AA"/>
    <w:rsid w:val="00B53406"/>
    <w:rsid w:val="00BD12A5"/>
    <w:rsid w:val="00BF070B"/>
    <w:rsid w:val="00C25DF2"/>
    <w:rsid w:val="00D15AAA"/>
    <w:rsid w:val="00D46AE6"/>
    <w:rsid w:val="00E54960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89"/>
  </w:style>
  <w:style w:type="paragraph" w:styleId="Footer">
    <w:name w:val="footer"/>
    <w:basedOn w:val="Normal"/>
    <w:link w:val="FooterChar"/>
    <w:uiPriority w:val="99"/>
    <w:unhideWhenUsed/>
    <w:rsid w:val="0093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89"/>
  </w:style>
  <w:style w:type="paragraph" w:styleId="BalloonText">
    <w:name w:val="Balloon Text"/>
    <w:basedOn w:val="Normal"/>
    <w:link w:val="BalloonTextChar"/>
    <w:uiPriority w:val="99"/>
    <w:semiHidden/>
    <w:unhideWhenUsed/>
    <w:rsid w:val="00BF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89"/>
  </w:style>
  <w:style w:type="paragraph" w:styleId="Footer">
    <w:name w:val="footer"/>
    <w:basedOn w:val="Normal"/>
    <w:link w:val="FooterChar"/>
    <w:uiPriority w:val="99"/>
    <w:unhideWhenUsed/>
    <w:rsid w:val="0093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89"/>
  </w:style>
  <w:style w:type="paragraph" w:styleId="BalloonText">
    <w:name w:val="Balloon Text"/>
    <w:basedOn w:val="Normal"/>
    <w:link w:val="BalloonTextChar"/>
    <w:uiPriority w:val="99"/>
    <w:semiHidden/>
    <w:unhideWhenUsed/>
    <w:rsid w:val="00BF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@wardenconsul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Pead Pr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2011-07-26T00:23:00Z</cp:lastPrinted>
  <dcterms:created xsi:type="dcterms:W3CDTF">2011-07-26T00:56:00Z</dcterms:created>
  <dcterms:modified xsi:type="dcterms:W3CDTF">2011-07-26T02:59:00Z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-1823343125</vt:i4>
  </property>
  <property fmtid="{D5CDD505-2E9C-101B-9397-08002B2CF9AE}" pid="3" name="_NewReviewCycle">
    <vt:lpwstr/>
  </property>
  <property fmtid="{D5CDD505-2E9C-101B-9397-08002B2CF9AE}" pid="4" name="_EmailSubject">
    <vt:lpwstr>Kiwi puts big chill on global fraudster's funds</vt:lpwstr>
  </property>
  <property fmtid="{D5CDD505-2E9C-101B-9397-08002B2CF9AE}" pid="5" name="_AuthorEmail">
    <vt:lpwstr>deborah@peadpr.co.nz</vt:lpwstr>
  </property>
  <property fmtid="{D5CDD505-2E9C-101B-9397-08002B2CF9AE}" pid="6" name="_AuthorEmailDisplayName">
    <vt:lpwstr>Deborah Pead</vt:lpwstr>
  </property>
  <property fmtid="{D5CDD505-2E9C-101B-9397-08002B2CF9AE}" pid="7" name="_PreviousAdHocReviewCycleID">
    <vt:i4>-1823343125</vt:i4>
  </property>
</Properties>
</file>